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299"/>
        <w:tblW w:w="10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09"/>
      </w:tblGrid>
      <w:tr w:rsidR="004A1CE5" w:rsidRPr="007A41FD" w:rsidTr="004A1CE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0109" w:type="dxa"/>
          </w:tcPr>
          <w:p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Załącznik do wniosku o zwrot podatku akcyzowego zawartego w cenie oleju napędowego wykorzystywanego do produkcji rolnej</w:t>
            </w:r>
          </w:p>
        </w:tc>
      </w:tr>
      <w:tr w:rsidR="004A1CE5" w:rsidRPr="007A41FD" w:rsidTr="004A1CE5">
        <w:tblPrEx>
          <w:tblCellMar>
            <w:top w:w="0" w:type="dxa"/>
            <w:bottom w:w="0" w:type="dxa"/>
          </w:tblCellMar>
        </w:tblPrEx>
        <w:trPr>
          <w:trHeight w:val="9482"/>
        </w:trPr>
        <w:tc>
          <w:tcPr>
            <w:tcW w:w="10109" w:type="dxa"/>
          </w:tcPr>
          <w:p w:rsidR="004A1CE5" w:rsidRPr="007A41FD" w:rsidRDefault="004A1CE5" w:rsidP="004A1CE5">
            <w:pPr>
              <w:pStyle w:val="Akapitzlist"/>
              <w:tabs>
                <w:tab w:val="left" w:pos="851"/>
              </w:tabs>
              <w:spacing w:after="0" w:line="240" w:lineRule="auto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1)Forma prawna beneficjenta pomocy*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przedsiębiorstwo państwowe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Skarbu Państwa 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jednoosobowa spółka jednostki samorządu terytorialnego, w rozumieniu ustawy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20 grudnia 1996 r. o gospodarce komunalnej (Dz. U. z 2021 r., poz. 679 ze zm.)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 konsumentów (Dz. U. z 2021 r. poz. 275 ze zm.)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jednostka sektora finansów publicznych w rozumieniu przepisów ustawy z dnia 27 sierpnia 2009 r. o finansach publicznych (Dz. U. z 2021 r. poz. 305 ze zm.)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2"/>
              </w:numPr>
              <w:tabs>
                <w:tab w:val="left" w:pos="214"/>
              </w:tabs>
              <w:spacing w:after="0" w:line="240" w:lineRule="auto"/>
              <w:ind w:left="3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inna (podać jaka) np. osoba fizyczna prowadząca działalność rolniczą, spółka jawna </w:t>
            </w:r>
          </w:p>
          <w:tbl>
            <w:tblPr>
              <w:tblW w:w="0" w:type="auto"/>
              <w:tblInd w:w="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957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8957" w:type="dxa"/>
                  <w:tcBorders>
                    <w:bottom w:val="single" w:sz="4" w:space="0" w:color="auto"/>
                  </w:tcBorders>
                </w:tcPr>
                <w:p w:rsidR="004A1CE5" w:rsidRPr="007A41FD" w:rsidRDefault="004A1CE5" w:rsidP="004A1CE5">
                  <w:pPr>
                    <w:pStyle w:val="Akapitzlist"/>
                    <w:framePr w:hSpace="141" w:wrap="around" w:vAnchor="text" w:hAnchor="margin" w:xAlign="center" w:y="-299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pStyle w:val="Akapitzlist"/>
              <w:spacing w:after="0" w:line="240" w:lineRule="auto"/>
              <w:ind w:left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2)Kategoria przedsiębiorstwa, przy którego użyciu </w:t>
            </w:r>
            <w:proofErr w:type="spellStart"/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użyciu</w:t>
            </w:r>
            <w:proofErr w:type="spellEnd"/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beneficjent pomocy wykonuje działalność w rozumieniu załącznika nr I do rozporządzenia Komisji (UE) nr 702/2014 z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15 czerwca 2014 r. uznającego niektóre kategorie pomocy w sektorach rolnym i leśnym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 obszarach wiejskich za zgodne z rynkiem wewnętrznym w zastosowaniu art. 107 i 108 Traktatu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 o funkcjonowaniu Unii Europejskiej (Dz. U. UE L 193 z 01.07.2014 str. 1)*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mikroprzedsiębiorca (do 10 zatrudnionych osób, roczny obrót do 2 mln euro, suma aktywów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do 2 mln euro)  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mały przedsiębiorca (do 50 zatrudnionych osób, roczny obrót do 10 mln euro, suma bilansowa(aktywów) do 10 mln euro)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średni przedsiębiorca (do 250 zatrudnionych osób, roczny obrót do 50 mln euro, suma bilansowa(aktywów) do 43 mln euro)</w:t>
            </w:r>
          </w:p>
          <w:p w:rsidR="004A1CE5" w:rsidRPr="007A41FD" w:rsidRDefault="004A1CE5" w:rsidP="004A1CE5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przedsiębiorca należący do żadnej z powyższych kategorii</w:t>
            </w:r>
          </w:p>
          <w:p w:rsidR="004A1CE5" w:rsidRPr="007A41FD" w:rsidRDefault="004A1CE5" w:rsidP="004A1CE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 xml:space="preserve">3)Klasa działalności, w związku z którą beneficjent ubiega się o pomoc, określona zgodnie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z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m Rady Ministrów z dnia 24 grudnia 2007 r. w sprawie Polskiej Klasyfikacji Działalności (PKD)(Dz. U. Nr 251, poz. 1885 ze zm.)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43"/>
              <w:gridCol w:w="543"/>
              <w:gridCol w:w="543"/>
              <w:gridCol w:w="543"/>
              <w:gridCol w:w="543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543" w:type="dxa"/>
                </w:tcPr>
                <w:p w:rsidR="004A1CE5" w:rsidRPr="007A41FD" w:rsidRDefault="004A1CE5" w:rsidP="004A1CE5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:rsidR="004A1CE5" w:rsidRPr="007A41FD" w:rsidRDefault="004A1CE5" w:rsidP="004A1CE5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:rsidR="004A1CE5" w:rsidRPr="007A41FD" w:rsidRDefault="004A1CE5" w:rsidP="004A1CE5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:rsidR="004A1CE5" w:rsidRPr="007A41FD" w:rsidRDefault="004A1CE5" w:rsidP="004A1CE5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3" w:type="dxa"/>
                </w:tcPr>
                <w:p w:rsidR="004A1CE5" w:rsidRPr="007A41FD" w:rsidRDefault="004A1CE5" w:rsidP="004A1CE5">
                  <w:pPr>
                    <w:framePr w:hSpace="141" w:wrap="around" w:vAnchor="text" w:hAnchor="margin" w:xAlign="center" w:y="-299"/>
                    <w:spacing w:after="0"/>
                    <w:ind w:left="-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E5" w:rsidRPr="007A41FD" w:rsidTr="004A1CE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109" w:type="dxa"/>
          </w:tcPr>
          <w:p w:rsidR="004A1CE5" w:rsidRPr="007A41FD" w:rsidRDefault="004A1CE5" w:rsidP="004A1CE5">
            <w:pPr>
              <w:pStyle w:val="Akapitzlist"/>
              <w:spacing w:after="0"/>
              <w:ind w:lef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4A1CE5" w:rsidRPr="007A41FD" w:rsidTr="004A1CE5">
        <w:tblPrEx>
          <w:tblCellMar>
            <w:top w:w="0" w:type="dxa"/>
            <w:bottom w:w="0" w:type="dxa"/>
          </w:tblCellMar>
        </w:tblPrEx>
        <w:trPr>
          <w:trHeight w:val="2705"/>
        </w:trPr>
        <w:tc>
          <w:tcPr>
            <w:tcW w:w="10109" w:type="dxa"/>
          </w:tcPr>
          <w:p w:rsidR="004A1CE5" w:rsidRPr="007A41FD" w:rsidRDefault="004A1CE5" w:rsidP="004A1CE5">
            <w:pPr>
              <w:pStyle w:val="Akapitzlist"/>
              <w:tabs>
                <w:tab w:val="left" w:pos="5936"/>
              </w:tabs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Imię                                                                                                    Data</w:t>
            </w:r>
          </w:p>
          <w:tbl>
            <w:tblPr>
              <w:tblpPr w:leftFromText="141" w:rightFromText="141" w:vertAnchor="text" w:horzAnchor="page" w:tblpX="256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65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365" w:type="dxa"/>
                </w:tcPr>
                <w:p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XSpec="right" w:tblpY="-6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65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365" w:type="dxa"/>
                </w:tcPr>
                <w:p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Nazwisko                                                                                           Podpis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65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365" w:type="dxa"/>
                </w:tcPr>
                <w:p w:rsidR="004A1CE5" w:rsidRPr="007A41FD" w:rsidRDefault="004A1CE5" w:rsidP="004A1CE5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right" w:tblpY="-4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65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365" w:type="dxa"/>
                </w:tcPr>
                <w:p w:rsidR="004A1CE5" w:rsidRPr="007A41FD" w:rsidRDefault="004A1CE5" w:rsidP="004A1CE5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pStyle w:val="Akapitzlist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D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65"/>
            </w:tblGrid>
            <w:tr w:rsidR="004A1CE5" w:rsidRPr="007A41FD" w:rsidTr="003279BA">
              <w:tblPrEx>
                <w:tblCellMar>
                  <w:top w:w="0" w:type="dxa"/>
                  <w:bottom w:w="0" w:type="dxa"/>
                </w:tblCellMar>
              </w:tblPrEx>
              <w:trPr>
                <w:trHeight w:val="340"/>
              </w:trPr>
              <w:tc>
                <w:tcPr>
                  <w:tcW w:w="4365" w:type="dxa"/>
                </w:tcPr>
                <w:p w:rsidR="004A1CE5" w:rsidRPr="007A41FD" w:rsidRDefault="004A1CE5" w:rsidP="004A1CE5">
                  <w:pPr>
                    <w:pStyle w:val="Akapitzlist"/>
                    <w:framePr w:hSpace="141" w:wrap="around" w:vAnchor="text" w:hAnchor="margin" w:xAlign="center" w:y="-299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1CE5" w:rsidRPr="007A41FD" w:rsidRDefault="004A1CE5" w:rsidP="004A1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905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*  właściwe zaznaczyć ‘’X’’</w:t>
      </w:r>
    </w:p>
    <w:p w:rsidR="003563EC" w:rsidRPr="007A41FD" w:rsidRDefault="003563EC" w:rsidP="004A1C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41FD">
        <w:rPr>
          <w:rFonts w:ascii="Times New Roman" w:hAnsi="Times New Roman" w:cs="Times New Roman"/>
          <w:i/>
          <w:sz w:val="24"/>
          <w:szCs w:val="24"/>
        </w:rPr>
        <w:t>Informacja!!! Na odwrocie podano przykładowy wykaz klasy PKD</w:t>
      </w:r>
    </w:p>
    <w:p w:rsidR="003563EC" w:rsidRDefault="003563EC" w:rsidP="004A1CE5">
      <w:pPr>
        <w:spacing w:after="0"/>
        <w:rPr>
          <w:i/>
          <w:sz w:val="20"/>
        </w:rPr>
      </w:pPr>
      <w:r>
        <w:rPr>
          <w:i/>
          <w:sz w:val="20"/>
        </w:rPr>
        <w:br w:type="page"/>
      </w:r>
    </w:p>
    <w:p w:rsidR="003563EC" w:rsidRPr="007A41FD" w:rsidRDefault="003563EC" w:rsidP="003563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lastRenderedPageBreak/>
        <w:t>Przykładowy wykaz klas PKD</w:t>
      </w:r>
    </w:p>
    <w:p w:rsidR="003563EC" w:rsidRPr="007A41FD" w:rsidRDefault="003563EC" w:rsidP="003563EC">
      <w:pPr>
        <w:spacing w:line="240" w:lineRule="auto"/>
        <w:rPr>
          <w:rFonts w:ascii="Times New Roman" w:hAnsi="Times New Roman" w:cs="Times New Roman"/>
        </w:rPr>
      </w:pPr>
    </w:p>
    <w:p w:rsidR="003563EC" w:rsidRPr="007A41FD" w:rsidRDefault="003563EC" w:rsidP="003563E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  <w:b/>
        </w:rPr>
        <w:t xml:space="preserve">Uprawy rolne inne niż wieloletnie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01.11.Z  Uprawa zbóż, roślin strączkowych i roślin oleistych na nasiona, z wyłączeniem ryżu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01.12.Z  Uprawa ryżu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01.13.Z  Uprawa warzyw, włączając melony oraz uprawa roślin korzeniowych i roślin bulwiastych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01.14.Z  Uprawa trzciny cukrowej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01.15.Z  Uprawa tytoniu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01.16.Z  Uprawa roślin włóknistych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01.19.Z  Pozostałe uprawy rolne inne niż wieloletnie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Uprawa roślin wieloletnich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01.21.Z  Uprawa winogron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01.22.Z  Uprawa drzew i krzewów owocowych tropikalnych i podzwrotnikowych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>01.23.Z  Uprawa drzew i krzewów owocowych cytrusowych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01.24.Z  Uprawa drzew i krzewów owocowych ziarnkowych i pestkowych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01.25.Z  Uprawa pozostałych drzew i krzewów oraz orzechów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01.26.Z  Uprawa drzew oleistych </w:t>
      </w:r>
    </w:p>
    <w:p w:rsidR="003563EC" w:rsidRPr="007A41FD" w:rsidRDefault="003563EC" w:rsidP="003563EC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01.27.Z  Uprawa roślin wykorzystywanych do produkcji napojów </w:t>
      </w:r>
    </w:p>
    <w:p w:rsidR="007A41FD" w:rsidRPr="007A41FD" w:rsidRDefault="003563EC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01.28.Z Uprawa roślin przyprawowych i aromatycznych oraz roślin wykorzystywanych do produkcji    </w:t>
      </w:r>
    </w:p>
    <w:p w:rsidR="003563EC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              </w:t>
      </w:r>
      <w:r w:rsidR="003563EC" w:rsidRPr="007A41FD">
        <w:rPr>
          <w:rFonts w:ascii="Times New Roman" w:hAnsi="Times New Roman" w:cs="Times New Roman"/>
        </w:rPr>
        <w:t xml:space="preserve">leków i wyrobów farmaceutycznych </w:t>
      </w:r>
    </w:p>
    <w:p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01.29.Z  Uprawa pozostałych roślin wieloletnich </w:t>
      </w:r>
    </w:p>
    <w:p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01.30.Z  Rozmnażanie roślin </w:t>
      </w:r>
    </w:p>
    <w:p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7A41FD" w:rsidRPr="007A41FD" w:rsidRDefault="007A41FD" w:rsidP="007A41F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  <w:b/>
        </w:rPr>
      </w:pPr>
      <w:r w:rsidRPr="007A41FD">
        <w:rPr>
          <w:rFonts w:ascii="Times New Roman" w:hAnsi="Times New Roman" w:cs="Times New Roman"/>
        </w:rPr>
        <w:tab/>
      </w:r>
      <w:r w:rsidRPr="007A41FD">
        <w:rPr>
          <w:rFonts w:ascii="Times New Roman" w:hAnsi="Times New Roman" w:cs="Times New Roman"/>
          <w:b/>
        </w:rPr>
        <w:t xml:space="preserve">Chów i hodowla zwierząt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01.41.Z  Chów i hodowla bydła mlecznego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01.42.Z  Chów i hodowla pozostałego bydła i bawołów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01.43.Z  Chów i hodowla koni i pozostałych zwierząt koniowatych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01.44.Z  Chów i hodowla wielbłądów i zwierząt wielbłądowatych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01.45.Z  Chów i hodowla owiec i kóz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01.46.Z  Chów i hodowla świń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01.47.Z  Chów i hodowla drobiu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01.49.Z  Chów i hodowla pozostałych zwierząt </w:t>
      </w:r>
    </w:p>
    <w:p w:rsidR="007A41FD" w:rsidRPr="007A41FD" w:rsidRDefault="007A41FD" w:rsidP="007A41FD">
      <w:pPr>
        <w:spacing w:after="0" w:line="240" w:lineRule="auto"/>
        <w:rPr>
          <w:rFonts w:ascii="Times New Roman" w:hAnsi="Times New Roman" w:cs="Times New Roman"/>
        </w:rPr>
      </w:pPr>
      <w:r w:rsidRPr="007A41FD">
        <w:rPr>
          <w:rFonts w:ascii="Times New Roman" w:hAnsi="Times New Roman" w:cs="Times New Roman"/>
        </w:rPr>
        <w:t xml:space="preserve">01.50.Z  Uprawy rolne połączone z chowem i hodowlą zwierząt (działalność mieszana) </w:t>
      </w:r>
    </w:p>
    <w:p w:rsidR="003563EC" w:rsidRDefault="003563EC" w:rsidP="003563EC">
      <w:pPr>
        <w:spacing w:after="0" w:line="240" w:lineRule="auto"/>
      </w:pPr>
    </w:p>
    <w:p w:rsidR="003563EC" w:rsidRPr="003563EC" w:rsidRDefault="003563EC" w:rsidP="003563EC">
      <w:pPr>
        <w:spacing w:after="0" w:line="240" w:lineRule="auto"/>
      </w:pPr>
    </w:p>
    <w:sectPr w:rsidR="003563EC" w:rsidRPr="003563EC" w:rsidSect="00574E82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1F7"/>
    <w:multiLevelType w:val="hybridMultilevel"/>
    <w:tmpl w:val="76229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81084"/>
    <w:multiLevelType w:val="hybridMultilevel"/>
    <w:tmpl w:val="A6BE719C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53B3E"/>
    <w:multiLevelType w:val="hybridMultilevel"/>
    <w:tmpl w:val="E2429334"/>
    <w:lvl w:ilvl="0" w:tplc="4AD4FF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A0929"/>
    <w:multiLevelType w:val="hybridMultilevel"/>
    <w:tmpl w:val="A998AF70"/>
    <w:lvl w:ilvl="0" w:tplc="4AD4FF38">
      <w:start w:val="1"/>
      <w:numFmt w:val="bullet"/>
      <w:lvlText w:val=""/>
      <w:lvlJc w:val="left"/>
      <w:pPr>
        <w:ind w:left="1064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75F9E"/>
    <w:multiLevelType w:val="hybridMultilevel"/>
    <w:tmpl w:val="D8804A84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698A1BB4"/>
    <w:multiLevelType w:val="hybridMultilevel"/>
    <w:tmpl w:val="E27E85BE"/>
    <w:lvl w:ilvl="0" w:tplc="4AD4FF38">
      <w:start w:val="1"/>
      <w:numFmt w:val="bullet"/>
      <w:lvlText w:val=""/>
      <w:lvlJc w:val="left"/>
      <w:pPr>
        <w:ind w:left="1076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9743E3"/>
    <w:rsid w:val="00292E89"/>
    <w:rsid w:val="003563EC"/>
    <w:rsid w:val="004A1CE5"/>
    <w:rsid w:val="00574E82"/>
    <w:rsid w:val="005C24CB"/>
    <w:rsid w:val="007A41FD"/>
    <w:rsid w:val="00855DAB"/>
    <w:rsid w:val="009743E3"/>
    <w:rsid w:val="009B3905"/>
    <w:rsid w:val="00BF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3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43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EF1CE-9C1C-446D-A523-C3CC94A0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j.anteczek</dc:creator>
  <cp:lastModifiedBy>j.anteczek</cp:lastModifiedBy>
  <cp:revision>1</cp:revision>
  <dcterms:created xsi:type="dcterms:W3CDTF">2021-07-12T06:47:00Z</dcterms:created>
  <dcterms:modified xsi:type="dcterms:W3CDTF">2021-07-12T08:15:00Z</dcterms:modified>
</cp:coreProperties>
</file>